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A361" w14:textId="77777777" w:rsidR="00E03431" w:rsidRDefault="00E03431" w:rsidP="00E03431">
      <w:pPr>
        <w:pStyle w:val="Bezmezer"/>
        <w:jc w:val="both"/>
      </w:pPr>
      <w:r>
        <w:t>Tisková zpráva</w:t>
      </w:r>
    </w:p>
    <w:p w14:paraId="3FD1A2B2" w14:textId="77777777" w:rsidR="00E03431" w:rsidRDefault="00E03431" w:rsidP="00E03431">
      <w:pPr>
        <w:pStyle w:val="Bezmezer"/>
        <w:jc w:val="both"/>
        <w:rPr>
          <w:sz w:val="36"/>
          <w:szCs w:val="36"/>
        </w:rPr>
      </w:pPr>
    </w:p>
    <w:p w14:paraId="685B5410" w14:textId="48DE6C04" w:rsidR="00E03431" w:rsidRDefault="00E03431" w:rsidP="00484440">
      <w:pPr>
        <w:pStyle w:val="Bezmez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ZP MV ČR vrátila </w:t>
      </w:r>
      <w:r w:rsidR="00246863">
        <w:rPr>
          <w:b/>
          <w:bCs/>
          <w:color w:val="365F91" w:themeColor="accent1" w:themeShade="BF"/>
          <w:sz w:val="36"/>
          <w:szCs w:val="36"/>
        </w:rPr>
        <w:t xml:space="preserve">svým </w:t>
      </w:r>
      <w:r>
        <w:rPr>
          <w:b/>
          <w:bCs/>
          <w:color w:val="365F91" w:themeColor="accent1" w:themeShade="BF"/>
          <w:sz w:val="36"/>
          <w:szCs w:val="36"/>
        </w:rPr>
        <w:t>klientům 1</w:t>
      </w:r>
      <w:r w:rsidR="00246863">
        <w:rPr>
          <w:b/>
          <w:bCs/>
          <w:color w:val="365F91" w:themeColor="accent1" w:themeShade="BF"/>
          <w:sz w:val="36"/>
          <w:szCs w:val="36"/>
        </w:rPr>
        <w:t>38</w:t>
      </w:r>
      <w:r>
        <w:rPr>
          <w:b/>
          <w:bCs/>
          <w:color w:val="365F91" w:themeColor="accent1" w:themeShade="BF"/>
          <w:sz w:val="36"/>
          <w:szCs w:val="36"/>
        </w:rPr>
        <w:t xml:space="preserve"> milionů</w:t>
      </w:r>
      <w:r w:rsidR="00246863">
        <w:rPr>
          <w:b/>
          <w:bCs/>
          <w:color w:val="365F91" w:themeColor="accent1" w:themeShade="BF"/>
          <w:sz w:val="36"/>
          <w:szCs w:val="36"/>
        </w:rPr>
        <w:t xml:space="preserve"> korun</w:t>
      </w:r>
      <w:r w:rsidR="00484440">
        <w:rPr>
          <w:b/>
          <w:bCs/>
          <w:color w:val="365F91" w:themeColor="accent1" w:themeShade="BF"/>
          <w:sz w:val="36"/>
          <w:szCs w:val="36"/>
        </w:rPr>
        <w:t xml:space="preserve"> na</w:t>
      </w:r>
      <w:r>
        <w:rPr>
          <w:b/>
          <w:bCs/>
          <w:color w:val="365F91" w:themeColor="accent1" w:themeShade="BF"/>
          <w:sz w:val="36"/>
          <w:szCs w:val="36"/>
        </w:rPr>
        <w:t xml:space="preserve"> přeplat</w:t>
      </w:r>
      <w:r w:rsidR="00484440">
        <w:rPr>
          <w:b/>
          <w:bCs/>
          <w:color w:val="365F91" w:themeColor="accent1" w:themeShade="BF"/>
          <w:sz w:val="36"/>
          <w:szCs w:val="36"/>
        </w:rPr>
        <w:t>cích</w:t>
      </w:r>
      <w:r>
        <w:rPr>
          <w:b/>
          <w:bCs/>
          <w:color w:val="365F91" w:themeColor="accent1" w:themeShade="BF"/>
          <w:sz w:val="36"/>
          <w:szCs w:val="36"/>
        </w:rPr>
        <w:t xml:space="preserve"> za léky  </w:t>
      </w:r>
    </w:p>
    <w:p w14:paraId="12B4DC02" w14:textId="77777777" w:rsidR="00E03431" w:rsidRDefault="00E03431" w:rsidP="00E03431">
      <w:pPr>
        <w:pStyle w:val="Bezmezer"/>
        <w:jc w:val="both"/>
        <w:rPr>
          <w:bCs/>
          <w:iCs/>
          <w:sz w:val="24"/>
          <w:szCs w:val="24"/>
        </w:rPr>
      </w:pPr>
    </w:p>
    <w:p w14:paraId="3F68E54F" w14:textId="613B7C94" w:rsidR="00E03431" w:rsidRDefault="00E03431" w:rsidP="00E03431">
      <w:pPr>
        <w:pStyle w:val="Bezmezer"/>
        <w:jc w:val="both"/>
        <w:rPr>
          <w:rFonts w:cstheme="minorHAnsi"/>
          <w:b/>
          <w:bCs/>
          <w:sz w:val="24"/>
          <w:szCs w:val="24"/>
        </w:rPr>
      </w:pPr>
      <w:bookmarkStart w:id="0" w:name="_Hlk52864380"/>
      <w:r>
        <w:rPr>
          <w:i/>
          <w:iCs/>
          <w:sz w:val="24"/>
          <w:szCs w:val="24"/>
        </w:rPr>
        <w:t>Praha 1</w:t>
      </w:r>
      <w:r w:rsidR="00484440">
        <w:rPr>
          <w:i/>
          <w:iCs/>
          <w:sz w:val="24"/>
          <w:szCs w:val="24"/>
        </w:rPr>
        <w:t>7</w:t>
      </w:r>
      <w:r>
        <w:rPr>
          <w:i/>
          <w:iCs/>
          <w:sz w:val="24"/>
          <w:szCs w:val="24"/>
        </w:rPr>
        <w:t>. února 202</w:t>
      </w:r>
      <w:r w:rsidR="00246863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 xml:space="preserve"> –</w:t>
      </w:r>
      <w:bookmarkEnd w:id="0"/>
      <w:r>
        <w:rPr>
          <w:b/>
          <w:bCs/>
          <w:i/>
          <w:iCs/>
          <w:sz w:val="24"/>
          <w:szCs w:val="24"/>
        </w:rPr>
        <w:t xml:space="preserve"> </w:t>
      </w:r>
      <w:r w:rsidR="00246863">
        <w:rPr>
          <w:rFonts w:cstheme="minorHAnsi"/>
          <w:b/>
          <w:bCs/>
          <w:sz w:val="24"/>
          <w:szCs w:val="24"/>
        </w:rPr>
        <w:t>Za rok 2022 vrátila</w:t>
      </w:r>
      <w:r>
        <w:rPr>
          <w:rFonts w:cstheme="minorHAnsi"/>
          <w:b/>
          <w:bCs/>
          <w:sz w:val="24"/>
          <w:szCs w:val="24"/>
        </w:rPr>
        <w:t xml:space="preserve"> Zdravotní pojišťovna ministerstva vnitra ČR</w:t>
      </w:r>
      <w:r w:rsidR="00F2118B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svým klientům </w:t>
      </w:r>
      <w:r w:rsidR="00484440">
        <w:rPr>
          <w:rFonts w:cstheme="minorHAnsi"/>
          <w:b/>
          <w:bCs/>
          <w:sz w:val="24"/>
          <w:szCs w:val="24"/>
        </w:rPr>
        <w:t xml:space="preserve">celkem </w:t>
      </w:r>
      <w:r w:rsidR="00246863">
        <w:rPr>
          <w:rFonts w:cstheme="minorHAnsi"/>
          <w:b/>
          <w:bCs/>
          <w:sz w:val="24"/>
          <w:szCs w:val="24"/>
        </w:rPr>
        <w:t>138</w:t>
      </w:r>
      <w:r>
        <w:rPr>
          <w:rFonts w:cstheme="minorHAnsi"/>
          <w:b/>
          <w:bCs/>
          <w:sz w:val="24"/>
          <w:szCs w:val="24"/>
        </w:rPr>
        <w:t xml:space="preserve"> milionů korun na přeplatcích za léky v lékárnách. Doplatek </w:t>
      </w:r>
      <w:r w:rsidR="00484440">
        <w:rPr>
          <w:rFonts w:cstheme="minorHAnsi"/>
          <w:b/>
          <w:bCs/>
          <w:sz w:val="24"/>
          <w:szCs w:val="24"/>
        </w:rPr>
        <w:t>získalo zpět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46863">
        <w:rPr>
          <w:rFonts w:cstheme="minorHAnsi"/>
          <w:b/>
          <w:bCs/>
          <w:sz w:val="24"/>
          <w:szCs w:val="24"/>
        </w:rPr>
        <w:t xml:space="preserve">téměř 190 tisíc </w:t>
      </w:r>
      <w:r>
        <w:rPr>
          <w:rFonts w:cstheme="minorHAnsi"/>
          <w:b/>
          <w:bCs/>
          <w:sz w:val="24"/>
          <w:szCs w:val="24"/>
        </w:rPr>
        <w:t xml:space="preserve">pojištěnců. </w:t>
      </w:r>
    </w:p>
    <w:p w14:paraId="3631E476" w14:textId="77777777" w:rsidR="00E03431" w:rsidRDefault="00E03431" w:rsidP="00E03431">
      <w:pPr>
        <w:pStyle w:val="Bezmezer"/>
        <w:jc w:val="both"/>
        <w:rPr>
          <w:rFonts w:cstheme="minorHAnsi"/>
          <w:b/>
          <w:bCs/>
          <w:sz w:val="24"/>
          <w:szCs w:val="24"/>
        </w:rPr>
      </w:pPr>
    </w:p>
    <w:p w14:paraId="331657C3" w14:textId="0A6259DD" w:rsidR="00E03431" w:rsidRDefault="00E03431" w:rsidP="00E03431">
      <w:pPr>
        <w:pStyle w:val="Bezmezer"/>
        <w:jc w:val="both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 xml:space="preserve">„V loňském roce </w:t>
      </w:r>
      <w:r w:rsidR="00246863">
        <w:rPr>
          <w:rFonts w:cstheme="minorHAnsi"/>
          <w:i/>
          <w:iCs/>
          <w:color w:val="000000"/>
          <w:sz w:val="24"/>
          <w:szCs w:val="24"/>
        </w:rPr>
        <w:t>došlo k</w:t>
      </w:r>
      <w:r w:rsidR="00AC5B37">
        <w:rPr>
          <w:rFonts w:cstheme="minorHAnsi"/>
          <w:i/>
          <w:iCs/>
          <w:color w:val="000000"/>
          <w:sz w:val="24"/>
          <w:szCs w:val="24"/>
        </w:rPr>
        <w:t xml:space="preserve"> rekordnímu </w:t>
      </w:r>
      <w:r w:rsidR="00246863">
        <w:rPr>
          <w:rFonts w:cstheme="minorHAnsi"/>
          <w:i/>
          <w:iCs/>
          <w:color w:val="000000"/>
          <w:sz w:val="24"/>
          <w:szCs w:val="24"/>
        </w:rPr>
        <w:t>nárůstu počtu</w:t>
      </w:r>
      <w:r>
        <w:rPr>
          <w:rFonts w:cstheme="minorHAnsi"/>
          <w:i/>
          <w:iCs/>
          <w:color w:val="000000"/>
          <w:sz w:val="24"/>
          <w:szCs w:val="24"/>
        </w:rPr>
        <w:t xml:space="preserve"> klientů, kterým byl přeplatek nárokován</w:t>
      </w:r>
      <w:r w:rsidR="00AC5B37">
        <w:rPr>
          <w:rFonts w:cstheme="minorHAnsi"/>
          <w:i/>
          <w:iCs/>
          <w:color w:val="000000"/>
          <w:sz w:val="24"/>
          <w:szCs w:val="24"/>
        </w:rPr>
        <w:t>, a to</w:t>
      </w:r>
      <w:r w:rsidR="00246863">
        <w:rPr>
          <w:rFonts w:cstheme="minorHAnsi"/>
          <w:i/>
          <w:iCs/>
          <w:color w:val="000000"/>
          <w:sz w:val="24"/>
          <w:szCs w:val="24"/>
        </w:rPr>
        <w:t xml:space="preserve"> o více </w:t>
      </w:r>
      <w:r w:rsidR="00AC5B37">
        <w:rPr>
          <w:rFonts w:cstheme="minorHAnsi"/>
          <w:i/>
          <w:iCs/>
          <w:color w:val="000000"/>
          <w:sz w:val="24"/>
          <w:szCs w:val="24"/>
        </w:rPr>
        <w:t>než</w:t>
      </w:r>
      <w:r w:rsidR="00246863">
        <w:rPr>
          <w:rFonts w:cstheme="minorHAnsi"/>
          <w:i/>
          <w:iCs/>
          <w:color w:val="000000"/>
          <w:sz w:val="24"/>
          <w:szCs w:val="24"/>
        </w:rPr>
        <w:t xml:space="preserve"> dvojnásobek. Zatímco v roce 2021 jsme vraceli přeplatek 90 tisícům pojištěnců, loni</w:t>
      </w:r>
      <w:r w:rsidR="0048444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246863">
        <w:rPr>
          <w:rFonts w:cstheme="minorHAnsi"/>
          <w:i/>
          <w:iCs/>
          <w:color w:val="000000"/>
          <w:sz w:val="24"/>
          <w:szCs w:val="24"/>
        </w:rPr>
        <w:t>více</w:t>
      </w:r>
      <w:r w:rsidR="00AC5B37">
        <w:rPr>
          <w:rFonts w:cstheme="minorHAnsi"/>
          <w:i/>
          <w:iCs/>
          <w:color w:val="000000"/>
          <w:sz w:val="24"/>
          <w:szCs w:val="24"/>
        </w:rPr>
        <w:t xml:space="preserve"> než 189 tisíc</w:t>
      </w:r>
      <w:r w:rsidR="00484440">
        <w:rPr>
          <w:rFonts w:cstheme="minorHAnsi"/>
          <w:i/>
          <w:iCs/>
          <w:color w:val="000000"/>
          <w:sz w:val="24"/>
          <w:szCs w:val="24"/>
        </w:rPr>
        <w:t>ům</w:t>
      </w:r>
      <w:r w:rsidR="00AC5B37">
        <w:rPr>
          <w:rFonts w:cstheme="minorHAnsi"/>
          <w:i/>
          <w:iCs/>
          <w:color w:val="000000"/>
          <w:sz w:val="24"/>
          <w:szCs w:val="24"/>
        </w:rPr>
        <w:t xml:space="preserve"> klientů</w:t>
      </w:r>
      <w:r>
        <w:rPr>
          <w:rFonts w:cstheme="minorHAnsi"/>
          <w:i/>
          <w:iCs/>
          <w:color w:val="000000"/>
          <w:sz w:val="24"/>
          <w:szCs w:val="24"/>
        </w:rPr>
        <w:t>,“ uvádí mluvčí ZP MV ČR Jana Schillerová.</w:t>
      </w:r>
    </w:p>
    <w:p w14:paraId="2BAFDC8F" w14:textId="14AD31FE" w:rsidR="00AC5B37" w:rsidRDefault="00AC5B37" w:rsidP="00E03431">
      <w:pPr>
        <w:pStyle w:val="Bezmezer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5363A128" w14:textId="7A1E23FC" w:rsidR="00AC5B37" w:rsidRPr="00AC5B37" w:rsidRDefault="00AC5B37" w:rsidP="00E03431">
      <w:pPr>
        <w:pStyle w:val="Bezmezer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Průměrná výše vráceného přeplatku činila 729 korun.</w:t>
      </w:r>
    </w:p>
    <w:p w14:paraId="7B31A5F5" w14:textId="77777777" w:rsidR="00E03431" w:rsidRDefault="00E03431" w:rsidP="00E03431">
      <w:pPr>
        <w:pStyle w:val="Bezmezer"/>
        <w:jc w:val="both"/>
        <w:rPr>
          <w:rFonts w:cstheme="minorHAnsi"/>
          <w:color w:val="000000"/>
          <w:sz w:val="24"/>
          <w:szCs w:val="24"/>
        </w:rPr>
      </w:pPr>
    </w:p>
    <w:p w14:paraId="3AB8AB34" w14:textId="7AC14D43" w:rsidR="00E03431" w:rsidRDefault="00E03431" w:rsidP="00E03431">
      <w:pPr>
        <w:pStyle w:val="Bezmezer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>Zdravotní pojišťovny vracejí přeplatky za léky čtyřikrát do roka, vždy za každé kalendářní čtvrtletí. Svým klientům je vracejí automaticky</w:t>
      </w:r>
      <w:r w:rsidR="005D02BF"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 xml:space="preserve"> na bankovní účet pojištěnce nebo složenkou. </w:t>
      </w:r>
      <w:r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 xml:space="preserve">ZP MV ČR </w:t>
      </w:r>
      <w:r w:rsidR="00AC5B37"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 xml:space="preserve">stále </w:t>
      </w:r>
      <w:r>
        <w:rPr>
          <w:rFonts w:cstheme="minorHAnsi"/>
          <w:color w:val="1A202C"/>
          <w:spacing w:val="-6"/>
          <w:sz w:val="24"/>
          <w:szCs w:val="24"/>
          <w:shd w:val="clear" w:color="auto" w:fill="FFFFFF"/>
        </w:rPr>
        <w:t xml:space="preserve">eviduje i nezdařilé platby. </w:t>
      </w:r>
    </w:p>
    <w:p w14:paraId="598CC5D4" w14:textId="77777777" w:rsidR="00E03431" w:rsidRDefault="00E03431" w:rsidP="00E03431">
      <w:pPr>
        <w:pStyle w:val="Bezmezer"/>
        <w:jc w:val="both"/>
        <w:rPr>
          <w:rFonts w:cstheme="minorHAnsi"/>
          <w:color w:val="000000"/>
          <w:sz w:val="24"/>
          <w:szCs w:val="24"/>
        </w:rPr>
      </w:pPr>
    </w:p>
    <w:p w14:paraId="088E2AFD" w14:textId="32947A69" w:rsidR="00E03431" w:rsidRDefault="00E03431" w:rsidP="00E03431">
      <w:pPr>
        <w:pStyle w:val="Bezmezer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„</w:t>
      </w:r>
      <w:r w:rsidR="00AC5B37">
        <w:rPr>
          <w:rFonts w:cstheme="minorHAnsi"/>
          <w:i/>
          <w:iCs/>
          <w:color w:val="000000"/>
          <w:sz w:val="24"/>
          <w:szCs w:val="24"/>
        </w:rPr>
        <w:t>Žádáme naše klienty, aby nám</w:t>
      </w:r>
      <w:r w:rsidR="00484440">
        <w:rPr>
          <w:rFonts w:cstheme="minorHAnsi"/>
          <w:i/>
          <w:iCs/>
          <w:color w:val="000000"/>
          <w:sz w:val="24"/>
          <w:szCs w:val="24"/>
        </w:rPr>
        <w:t xml:space="preserve"> nahlašovali jakékoli </w:t>
      </w:r>
      <w:proofErr w:type="gramStart"/>
      <w:r w:rsidR="00484440">
        <w:rPr>
          <w:rFonts w:cstheme="minorHAnsi"/>
          <w:i/>
          <w:iCs/>
          <w:color w:val="000000"/>
          <w:sz w:val="24"/>
          <w:szCs w:val="24"/>
        </w:rPr>
        <w:t>změny</w:t>
      </w:r>
      <w:proofErr w:type="gramEnd"/>
      <w:r w:rsidR="00484440">
        <w:rPr>
          <w:rFonts w:cstheme="minorHAnsi"/>
          <w:i/>
          <w:iCs/>
          <w:color w:val="000000"/>
          <w:sz w:val="24"/>
          <w:szCs w:val="24"/>
        </w:rPr>
        <w:t xml:space="preserve"> a</w:t>
      </w:r>
      <w:r w:rsidR="00AC5B37">
        <w:rPr>
          <w:rFonts w:cstheme="minorHAnsi"/>
          <w:i/>
          <w:iCs/>
          <w:color w:val="000000"/>
          <w:sz w:val="24"/>
          <w:szCs w:val="24"/>
        </w:rPr>
        <w:t xml:space="preserve"> kromě platné adresy </w:t>
      </w:r>
      <w:r w:rsidR="00484440">
        <w:rPr>
          <w:rFonts w:cstheme="minorHAnsi"/>
          <w:i/>
          <w:iCs/>
          <w:color w:val="000000"/>
          <w:sz w:val="24"/>
          <w:szCs w:val="24"/>
        </w:rPr>
        <w:t xml:space="preserve">uvedli </w:t>
      </w:r>
      <w:r w:rsidR="00AC5B37">
        <w:rPr>
          <w:rFonts w:cstheme="minorHAnsi"/>
          <w:i/>
          <w:iCs/>
          <w:color w:val="000000"/>
          <w:sz w:val="24"/>
          <w:szCs w:val="24"/>
        </w:rPr>
        <w:t xml:space="preserve">také číslo bankovního účtu. Nedoručené platby se týkají zejména seniorů ve vyšším věku, kteří </w:t>
      </w:r>
      <w:r w:rsidR="005D02BF">
        <w:rPr>
          <w:rFonts w:cstheme="minorHAnsi"/>
          <w:i/>
          <w:iCs/>
          <w:color w:val="000000"/>
          <w:sz w:val="24"/>
          <w:szCs w:val="24"/>
        </w:rPr>
        <w:t xml:space="preserve">často nemají mobilní telefon, nebo se na uvedené adrese již nevyskytují. Platby se nám pak vrací nazpět,“ </w:t>
      </w:r>
      <w:r w:rsidR="005D02BF" w:rsidRPr="005D02BF">
        <w:rPr>
          <w:rFonts w:cstheme="minorHAnsi"/>
          <w:color w:val="000000"/>
          <w:sz w:val="24"/>
          <w:szCs w:val="24"/>
        </w:rPr>
        <w:t>dodává Jana Schillerová</w:t>
      </w:r>
      <w:r w:rsidR="005D02BF">
        <w:rPr>
          <w:rFonts w:cstheme="minorHAnsi"/>
          <w:color w:val="000000"/>
          <w:sz w:val="24"/>
          <w:szCs w:val="24"/>
        </w:rPr>
        <w:t>.</w:t>
      </w:r>
    </w:p>
    <w:p w14:paraId="5113DEA3" w14:textId="77777777" w:rsidR="00E03431" w:rsidRDefault="00E03431" w:rsidP="00E03431">
      <w:pPr>
        <w:pStyle w:val="Bezmezer"/>
        <w:jc w:val="both"/>
        <w:rPr>
          <w:rFonts w:cstheme="minorHAnsi"/>
          <w:color w:val="000000"/>
          <w:sz w:val="24"/>
          <w:szCs w:val="24"/>
        </w:rPr>
      </w:pPr>
    </w:p>
    <w:p w14:paraId="30442DF5" w14:textId="3C7F9091" w:rsidR="005D02BF" w:rsidRPr="00484440" w:rsidRDefault="005D02BF" w:rsidP="005D02BF">
      <w:pPr>
        <w:autoSpaceDE w:val="0"/>
        <w:autoSpaceDN w:val="0"/>
        <w:jc w:val="both"/>
        <w:rPr>
          <w:rStyle w:val="Siln"/>
          <w:rFonts w:cstheme="minorHAnsi"/>
          <w:b w:val="0"/>
          <w:bCs w:val="0"/>
          <w:color w:val="000000"/>
          <w:sz w:val="24"/>
          <w:szCs w:val="24"/>
        </w:rPr>
      </w:pPr>
      <w:r w:rsidRPr="00484440"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Od roku 2022 platí </w:t>
      </w:r>
      <w:r w:rsidRPr="00484440"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>minimální výš</w:t>
      </w:r>
      <w:r w:rsidRPr="00484440"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e přeplatku </w:t>
      </w:r>
      <w:r w:rsidRPr="00484440"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  <w:t xml:space="preserve">200 korun. Ochranný roční limit za započitatelné doplatky za léky je stanoven zákonem č. 48/1997 Sb., o veřejném zdravotním pojištění. U dětí do 18 let a klientů starších 65 let je nastaven na 1000 Kč, pro seniory nad 70 let a osoby s přiznanou invaliditou ve druhém nebo třetím stupni je limit 500 Kč, pro ostatní pojištěnce je hranice 5000 Kč. </w:t>
      </w:r>
    </w:p>
    <w:p w14:paraId="328B564F" w14:textId="77777777" w:rsidR="005D02BF" w:rsidRDefault="005D02BF" w:rsidP="00E03431">
      <w:pPr>
        <w:pStyle w:val="Bezmezer"/>
        <w:jc w:val="both"/>
        <w:rPr>
          <w:rStyle w:val="Siln"/>
          <w:rFonts w:cstheme="minorHAnsi"/>
          <w:color w:val="212121"/>
          <w:sz w:val="24"/>
          <w:szCs w:val="24"/>
          <w:shd w:val="clear" w:color="auto" w:fill="FFFFFF"/>
        </w:rPr>
      </w:pPr>
    </w:p>
    <w:p w14:paraId="547FDCEB" w14:textId="77777777" w:rsidR="005D02BF" w:rsidRDefault="005D02BF" w:rsidP="00E03431">
      <w:pPr>
        <w:pStyle w:val="Bezmezer"/>
        <w:jc w:val="both"/>
        <w:rPr>
          <w:rStyle w:val="Siln"/>
          <w:rFonts w:cstheme="minorHAnsi"/>
          <w:color w:val="212121"/>
          <w:sz w:val="24"/>
          <w:szCs w:val="24"/>
          <w:shd w:val="clear" w:color="auto" w:fill="FFFFFF"/>
        </w:rPr>
      </w:pPr>
    </w:p>
    <w:p w14:paraId="00B66789" w14:textId="77777777" w:rsidR="00246863" w:rsidRDefault="00246863" w:rsidP="00246863">
      <w:pPr>
        <w:rPr>
          <w:b/>
          <w:bCs/>
        </w:rPr>
      </w:pPr>
    </w:p>
    <w:p w14:paraId="64F27433" w14:textId="77777777" w:rsidR="00246863" w:rsidRDefault="00246863" w:rsidP="00E03431">
      <w:pPr>
        <w:pStyle w:val="Bezmezer"/>
        <w:jc w:val="both"/>
        <w:rPr>
          <w:rStyle w:val="Siln"/>
          <w:rFonts w:cstheme="minorHAnsi"/>
          <w:b w:val="0"/>
          <w:bCs w:val="0"/>
          <w:color w:val="212121"/>
          <w:sz w:val="24"/>
          <w:szCs w:val="24"/>
          <w:shd w:val="clear" w:color="auto" w:fill="FFFFFF"/>
        </w:rPr>
      </w:pPr>
    </w:p>
    <w:p w14:paraId="2C8F32C3" w14:textId="77777777" w:rsidR="00E03431" w:rsidRDefault="00E03431" w:rsidP="00E03431">
      <w:pPr>
        <w:pStyle w:val="Bezmezer"/>
        <w:jc w:val="both"/>
      </w:pPr>
    </w:p>
    <w:p w14:paraId="0C9B2DB2" w14:textId="77777777" w:rsidR="00E03431" w:rsidRDefault="00E03431" w:rsidP="00E03431">
      <w:pPr>
        <w:pStyle w:val="Bezmezer"/>
        <w:jc w:val="both"/>
        <w:rPr>
          <w:b/>
          <w:i/>
          <w:iCs/>
        </w:rPr>
      </w:pPr>
      <w:r>
        <w:rPr>
          <w:i/>
          <w:iCs/>
        </w:rPr>
        <w:t>KONTAKT:</w:t>
      </w:r>
    </w:p>
    <w:p w14:paraId="3834CAC0" w14:textId="77777777" w:rsidR="00E03431" w:rsidRDefault="00E03431" w:rsidP="00E03431">
      <w:pPr>
        <w:pStyle w:val="Bezmezer"/>
        <w:jc w:val="both"/>
        <w:rPr>
          <w:i/>
          <w:iCs/>
        </w:rPr>
      </w:pPr>
      <w:r>
        <w:rPr>
          <w:i/>
          <w:iCs/>
        </w:rPr>
        <w:t>Jana Schillerová</w:t>
      </w:r>
    </w:p>
    <w:p w14:paraId="5C52ED5B" w14:textId="77777777" w:rsidR="00E03431" w:rsidRDefault="00E03431" w:rsidP="00E03431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</w:t>
      </w:r>
      <w:proofErr w:type="gramStart"/>
      <w:r>
        <w:rPr>
          <w:i/>
          <w:iCs/>
        </w:rPr>
        <w:t>mluvčí  ZP</w:t>
      </w:r>
      <w:proofErr w:type="gramEnd"/>
      <w:r>
        <w:rPr>
          <w:i/>
          <w:iCs/>
        </w:rPr>
        <w:t xml:space="preserve"> MV ČR</w:t>
      </w:r>
    </w:p>
    <w:p w14:paraId="7468B271" w14:textId="77777777" w:rsidR="00E03431" w:rsidRDefault="00E03431" w:rsidP="00E03431">
      <w:pPr>
        <w:pStyle w:val="Bezmezer"/>
        <w:jc w:val="both"/>
        <w:rPr>
          <w:i/>
          <w:iCs/>
        </w:rPr>
      </w:pPr>
      <w:r>
        <w:rPr>
          <w:i/>
          <w:iCs/>
        </w:rPr>
        <w:t>tel.: +420 724 859 342</w:t>
      </w:r>
    </w:p>
    <w:p w14:paraId="6F9298F3" w14:textId="77777777" w:rsidR="00E03431" w:rsidRDefault="00E03431" w:rsidP="00E03431">
      <w:pPr>
        <w:pStyle w:val="Bezmezer"/>
        <w:jc w:val="both"/>
        <w:rPr>
          <w:i/>
          <w:iCs/>
        </w:rPr>
      </w:pPr>
      <w:r>
        <w:rPr>
          <w:i/>
          <w:iCs/>
        </w:rPr>
        <w:t>e-mail: jana.schillerova@zpmvcr.cz</w:t>
      </w:r>
    </w:p>
    <w:p w14:paraId="6602A4E0" w14:textId="77777777" w:rsidR="00E03431" w:rsidRDefault="00E03431" w:rsidP="00E03431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0E7C164C" w14:textId="77777777" w:rsidR="00E03431" w:rsidRDefault="00E03431" w:rsidP="00E03431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lastRenderedPageBreak/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829">
    <w:abstractNumId w:val="1"/>
  </w:num>
  <w:num w:numId="2" w16cid:durableId="845091195">
    <w:abstractNumId w:val="2"/>
  </w:num>
  <w:num w:numId="3" w16cid:durableId="1846355259">
    <w:abstractNumId w:val="0"/>
  </w:num>
  <w:num w:numId="4" w16cid:durableId="185587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5A99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4C4F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863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0F81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84440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2BF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C5B37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97F42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0577E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DF7742"/>
    <w:rsid w:val="00E03431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118B"/>
    <w:rsid w:val="00F2433C"/>
    <w:rsid w:val="00F25D5C"/>
    <w:rsid w:val="00F34201"/>
    <w:rsid w:val="00F35CAF"/>
    <w:rsid w:val="00F35E63"/>
    <w:rsid w:val="00F40008"/>
    <w:rsid w:val="00F466F9"/>
    <w:rsid w:val="00F55F40"/>
    <w:rsid w:val="00F6120A"/>
    <w:rsid w:val="00F62BFC"/>
    <w:rsid w:val="00F661D0"/>
    <w:rsid w:val="00F834B1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D57A8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E03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4</cp:revision>
  <cp:lastPrinted>2021-01-19T09:50:00Z</cp:lastPrinted>
  <dcterms:created xsi:type="dcterms:W3CDTF">2023-02-16T11:36:00Z</dcterms:created>
  <dcterms:modified xsi:type="dcterms:W3CDTF">2023-02-17T08:24:00Z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